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/>
          <w:lang w:val="zh-CN"/>
        </w:rPr>
        <w:t>福建省建设世界一流港口做大做强东南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/>
          <w:lang w:val="zh-CN"/>
        </w:rPr>
        <w:t>国际航运中心工作方案（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2021-2023年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/>
          <w:lang w:val="zh-CN"/>
        </w:rPr>
        <w:t>）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344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18"/>
          <w:szCs w:val="1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充分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发挥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我省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港口资源优势，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/>
        </w:rPr>
        <w:t>加快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世界一流港口，打造厦门东南国际航运中心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驱动我省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/>
        </w:rPr>
        <w:t>海洋经济高质量发展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制订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本工作方案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24" w:firstLineChars="200"/>
        <w:jc w:val="both"/>
        <w:textAlignment w:val="auto"/>
        <w:outlineLvl w:val="9"/>
        <w:rPr>
          <w:rFonts w:hint="eastAsia" w:eastAsia="仿宋_GB2312"/>
          <w:color w:val="auto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zh-CN"/>
        </w:rPr>
        <w:t>一、总体要求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以习近平新时代中国特色社会主义思想为指导，深入贯彻新发展理念，以交通强国建设为统领，以高质量发展为主题，对标世界一流先进港口，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 w:eastAsia="zh-CN"/>
        </w:rPr>
        <w:t>聚焦补短板强弱项，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u w:val="none"/>
          <w:lang w:eastAsia="zh-CN"/>
        </w:rPr>
        <w:t>着力提升港口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基础设施、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 w:eastAsia="zh-CN"/>
        </w:rPr>
        <w:t>综合服务能力以及辐射影响力，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/>
        </w:rPr>
        <w:t>打造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/>
        </w:rPr>
        <w:t>一流设施、一流技术、一流管理、一流服务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努力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/>
        </w:rPr>
        <w:t>建设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/>
        </w:rPr>
        <w:t>安全便捷、智慧绿色、经济高效、支撑有力、世界先进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/>
        </w:rPr>
        <w:t>世界一流港口，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 w:eastAsia="zh-CN"/>
        </w:rPr>
        <w:t>构筑我省对外开放和两岸交流的重要门户枢纽，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为建设“海上福建”、促进海洋经济高质量发展提供强有力支撑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2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zh-CN" w:eastAsia="zh-CN"/>
        </w:rPr>
        <w:t>发展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zh-CN"/>
        </w:rPr>
        <w:t>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24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，力争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/>
        </w:rPr>
        <w:t>全省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沿海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/>
        </w:rPr>
        <w:t>港口吞吐量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达7.3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/>
        </w:rPr>
        <w:t>亿吨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/>
        </w:rPr>
        <w:t>集装箱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1950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/>
        </w:rPr>
        <w:t>万标箱。其中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/>
        </w:rPr>
        <w:t>厦门港吞吐量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力争达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/>
        </w:rPr>
        <w:t>亿吨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/>
        </w:rPr>
        <w:t>集装箱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1350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/>
        </w:rPr>
        <w:t>万标箱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/>
        </w:rPr>
        <w:t>福州港吞吐量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力争达3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/>
        </w:rPr>
        <w:t>亿吨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/>
        </w:rPr>
        <w:t>集装箱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420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/>
        </w:rPr>
        <w:t>万标箱。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全省铁路、公路、水路货运周转量分别超过190、1200、9500亿吨公里。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世界一流港口建设取得重要进展，厦门港、福州港绿色、智慧、安全发展实现重大突破，泉州港、湄洲湾港专业化、规模化水平明显提升。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到2025年，力争全省沿海港口吞吐量达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亿吨、集装箱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2300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万标箱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厦门港跻身世界一流，港口能力、运输便利化程度、集疏运结构合理化水平、泊位专业化率、国际影响力等关键发展指标稳居国内前列。厦门东南国际航运中心和福州国际深水大港建设卓有成效，全省建成功能分工合理、空间布局优化、保障能力充分、具有比较优势的现代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zh-CN"/>
        </w:rPr>
        <w:t>东南沿海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港口群。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2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zh-CN"/>
        </w:rPr>
        <w:t>三、主要任务</w:t>
      </w:r>
    </w:p>
    <w:p>
      <w:pPr>
        <w:pBdr>
          <w:bottom w:val="single" w:color="FFFFFF" w:sz="4" w:space="15"/>
        </w:pBdr>
        <w:tabs>
          <w:tab w:val="left" w:pos="1440"/>
        </w:tabs>
        <w:adjustRightInd w:val="0"/>
        <w:snapToGrid w:val="0"/>
        <w:spacing w:beforeLines="0" w:afterLines="0" w:line="560" w:lineRule="exact"/>
        <w:ind w:firstLine="643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u w:val="none"/>
          <w:lang w:val="zh-CN" w:eastAsia="zh-CN"/>
        </w:rPr>
        <w:t>（一）做大做强厦门东南国际航运中心</w:t>
      </w:r>
    </w:p>
    <w:p>
      <w:pPr>
        <w:pBdr>
          <w:bottom w:val="single" w:color="FFFFFF" w:sz="4" w:space="15"/>
        </w:pBdr>
        <w:tabs>
          <w:tab w:val="left" w:pos="1440"/>
        </w:tabs>
        <w:adjustRightInd w:val="0"/>
        <w:snapToGrid w:val="0"/>
        <w:spacing w:beforeLines="0" w:afterLines="0" w:line="560" w:lineRule="exact"/>
        <w:ind w:firstLine="64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eastAsia="zh-CN"/>
        </w:rPr>
        <w:t>全面提升厦门港集装箱通过能力。</w:t>
      </w:r>
      <w:r>
        <w:rPr>
          <w:rFonts w:hint="eastAsia" w:ascii="仿宋_GB2312" w:hAnsi="华文仿宋" w:eastAsia="仿宋_GB2312" w:cs="华文仿宋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统筹利用好厦门湾深水岸线资源，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全面提升厦门港集装箱通过能力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，</w:t>
      </w:r>
      <w:r>
        <w:rPr>
          <w:rFonts w:hint="eastAsia" w:ascii="Calibri" w:hAnsi="Calibri" w:eastAsia="仿宋_GB2312" w:cs="仿宋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进一步</w:t>
      </w:r>
      <w:r>
        <w:rPr>
          <w:rFonts w:hint="eastAsia" w:ascii="Calibri" w:hAnsi="Calibri" w:eastAsia="仿宋_GB2312" w:cs="仿宋"/>
          <w:bCs w:val="0"/>
          <w:color w:val="auto"/>
          <w:kern w:val="0"/>
          <w:sz w:val="32"/>
          <w:szCs w:val="32"/>
          <w:highlight w:val="none"/>
          <w:u w:val="none"/>
        </w:rPr>
        <w:t>巩</w:t>
      </w:r>
      <w:r>
        <w:rPr>
          <w:rFonts w:hint="eastAsia" w:ascii="仿宋_GB2312" w:hAnsi="华文仿宋" w:eastAsia="仿宋_GB2312" w:cs="华文仿宋"/>
          <w:bCs/>
          <w:color w:val="auto"/>
          <w:sz w:val="32"/>
          <w:szCs w:val="32"/>
          <w:highlight w:val="none"/>
          <w:u w:val="none"/>
        </w:rPr>
        <w:t>固</w:t>
      </w:r>
      <w:r>
        <w:rPr>
          <w:rFonts w:hint="eastAsia" w:ascii="仿宋_GB2312" w:hAnsi="华文仿宋" w:eastAsia="仿宋_GB2312" w:cs="华文仿宋"/>
          <w:bCs/>
          <w:color w:val="auto"/>
          <w:sz w:val="32"/>
          <w:szCs w:val="32"/>
          <w:highlight w:val="none"/>
          <w:u w:val="none"/>
          <w:lang w:eastAsia="zh-CN"/>
        </w:rPr>
        <w:t>提升厦门港全国沿海</w:t>
      </w:r>
      <w:r>
        <w:rPr>
          <w:rFonts w:hint="eastAsia" w:ascii="仿宋_GB2312" w:hAnsi="华文仿宋" w:eastAsia="仿宋_GB2312" w:cs="华文仿宋"/>
          <w:bCs/>
          <w:color w:val="auto"/>
          <w:sz w:val="32"/>
          <w:szCs w:val="32"/>
          <w:highlight w:val="none"/>
          <w:u w:val="none"/>
        </w:rPr>
        <w:t>集装箱</w:t>
      </w:r>
      <w:r>
        <w:rPr>
          <w:rFonts w:hint="eastAsia" w:ascii="仿宋_GB2312" w:hAnsi="华文仿宋" w:eastAsia="仿宋_GB2312" w:cs="华文仿宋"/>
          <w:bCs/>
          <w:color w:val="auto"/>
          <w:sz w:val="32"/>
          <w:szCs w:val="32"/>
          <w:highlight w:val="none"/>
          <w:u w:val="none"/>
          <w:lang w:eastAsia="zh-CN"/>
        </w:rPr>
        <w:t>干线枢纽</w:t>
      </w:r>
      <w:r>
        <w:rPr>
          <w:rFonts w:hint="eastAsia" w:ascii="仿宋_GB2312" w:hAnsi="华文仿宋" w:eastAsia="仿宋_GB2312" w:cs="华文仿宋"/>
          <w:bCs/>
          <w:color w:val="auto"/>
          <w:sz w:val="32"/>
          <w:szCs w:val="32"/>
          <w:highlight w:val="none"/>
          <w:u w:val="none"/>
        </w:rPr>
        <w:t>港地位</w:t>
      </w:r>
      <w:r>
        <w:rPr>
          <w:rFonts w:hint="eastAsia" w:eastAsia="仿宋_GB2312" w:cs="仿宋"/>
          <w:color w:val="auto"/>
          <w:kern w:val="0"/>
          <w:sz w:val="32"/>
          <w:szCs w:val="32"/>
          <w:highlight w:val="none"/>
          <w:u w:val="none"/>
          <w:lang w:eastAsia="zh-CN"/>
        </w:rPr>
        <w:t>。加强现有泊位能力释放，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推进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海沧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、东渡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港区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部分散货泊位功能调整为集装箱泊位</w:t>
      </w:r>
      <w:r>
        <w:rPr>
          <w:rFonts w:hint="eastAsia" w:eastAsia="仿宋_GB2312" w:cs="仿宋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Style w:val="8"/>
          <w:rFonts w:hint="eastAsia" w:ascii="仿宋_GB2312" w:hAnsi="华文仿宋" w:eastAsia="仿宋_GB2312" w:cs="华文仿宋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推动东渡港区集装箱泊位整合提级，</w:t>
      </w:r>
      <w:r>
        <w:rPr>
          <w:rFonts w:hint="eastAsia" w:ascii="仿宋_GB2312" w:hAnsi="华文仿宋" w:eastAsia="仿宋_GB2312" w:cs="华文仿宋"/>
          <w:bCs/>
          <w:color w:val="auto"/>
          <w:kern w:val="2"/>
          <w:sz w:val="32"/>
          <w:szCs w:val="32"/>
          <w:highlight w:val="none"/>
          <w:u w:val="none"/>
          <w:lang w:eastAsia="zh-CN"/>
        </w:rPr>
        <w:t>探索海沧港区一体化运营</w:t>
      </w:r>
      <w:r>
        <w:rPr>
          <w:rFonts w:hint="eastAsia" w:ascii="仿宋_GB2312" w:hAnsi="华文仿宋" w:eastAsia="仿宋_GB2312" w:cs="华文仿宋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（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4"/>
          <w:highlight w:val="none"/>
          <w:u w:val="none"/>
          <w:lang w:val="zh-CN" w:eastAsia="zh-CN" w:bidi="ar-SA"/>
        </w:rPr>
        <w:t>责任单位：厦门市政府，省交通运输厅、发改委、自然资源厅、港口集团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）</w:t>
      </w:r>
    </w:p>
    <w:p>
      <w:pPr>
        <w:pBdr>
          <w:bottom w:val="single" w:color="FFFFFF" w:sz="4" w:space="15"/>
        </w:pBdr>
        <w:tabs>
          <w:tab w:val="left" w:pos="1440"/>
        </w:tabs>
        <w:adjustRightInd w:val="0"/>
        <w:snapToGrid w:val="0"/>
        <w:spacing w:beforeLines="0" w:afterLines="0" w:line="560" w:lineRule="exact"/>
        <w:ind w:firstLine="64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2.开展集装箱稳量提质增效保障国际供应链畅通。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强化船公司总部营销和港航联盟策略，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争取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增加运力投放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增开航线，加大中转、整船换载、空箱调拨力度。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促进省内主要集装箱港口经营主体形成“有序竞合、共同拓展”的一体化经营机制，共同开拓新的市场。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优化引航管理，提高集装箱港口作业效率，加快船舶周转。实施港航发展专项扶持政策，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优化航线布局，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增加航线、航班密度，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构建干支线合理配置、航线运力高效利用的航线网络，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吸引周边地区集装箱向我省港口聚集。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统筹厦门港各港区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资源配置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优化港区间驳运，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提升国际中转效率。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eastAsia="zh-CN"/>
        </w:rPr>
        <w:t>（责任单位：省交通运输厅、港口集团）</w:t>
      </w:r>
    </w:p>
    <w:p>
      <w:pPr>
        <w:pBdr>
          <w:bottom w:val="single" w:color="FFFFFF" w:sz="4" w:space="15"/>
        </w:pBdr>
        <w:tabs>
          <w:tab w:val="left" w:pos="1440"/>
        </w:tabs>
        <w:adjustRightInd w:val="0"/>
        <w:snapToGrid w:val="0"/>
        <w:spacing w:beforeLines="0" w:afterLines="0" w:line="560" w:lineRule="exact"/>
        <w:ind w:firstLine="643"/>
        <w:rPr>
          <w:rFonts w:hint="default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（二）建设一流的港口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基础</w:t>
      </w:r>
      <w:r>
        <w:rPr>
          <w:rFonts w:hint="default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设施</w:t>
      </w:r>
    </w:p>
    <w:p>
      <w:pPr>
        <w:pBdr>
          <w:bottom w:val="single" w:color="FFFFFF" w:sz="4" w:space="15"/>
        </w:pBdr>
        <w:tabs>
          <w:tab w:val="left" w:pos="1440"/>
        </w:tabs>
        <w:adjustRightInd w:val="0"/>
        <w:snapToGrid w:val="0"/>
        <w:spacing w:beforeLines="0" w:afterLines="0" w:line="560" w:lineRule="exact"/>
        <w:ind w:firstLine="643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3.聚焦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zh-CN" w:eastAsia="zh-CN"/>
        </w:rPr>
        <w:t>重点港区整体连片开发。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zh-CN" w:eastAsia="zh-CN" w:bidi="ar-SA"/>
        </w:rPr>
        <w:t>加快推进福州江阴、泉州石湖集装箱重点项目建设。推进湄洲湾港罗屿岛整岛开发建设、福州港罗源湾港区大型散货码头整合和建设，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zh-CN" w:eastAsia="zh-CN"/>
        </w:rPr>
        <w:t>打造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zh-CN"/>
        </w:rPr>
        <w:t>东南沿海能源矿产进口的重要口岸和大宗散货接卸中转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zh-CN" w:eastAsia="zh-CN"/>
        </w:rPr>
        <w:t>储备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zh-CN"/>
        </w:rPr>
        <w:t>基地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zh-CN" w:eastAsia="zh-CN" w:bidi="ar-SA"/>
        </w:rPr>
        <w:t>。推动古雷大型原油石化码头连片开发，探索建设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45万吨原油码头。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zh-CN" w:eastAsia="zh-CN"/>
        </w:rPr>
        <w:t>加快宁德漳湾、福州罗源湾和江阴、湄洲湾南北岸、泉州石井、漳州后石和古雷等与产业配套港区建设，服务能源、化工、钢铁、装备制造等临港产业发展。发挥省港口集团港口开发运营骨干作用，大力推动重点港区重要项目先导性、战略性开发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" w:eastAsia="zh-CN"/>
        </w:rPr>
        <w:t>(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" w:eastAsia="zh-CN"/>
        </w:rPr>
        <w:t>责任单位：沿海各设区市政府、平潭综合实验区管委会，省发改委、交通运输厅、自然资源厅、港口集团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" w:eastAsia="zh-CN"/>
        </w:rPr>
        <w:t>)</w:t>
      </w:r>
    </w:p>
    <w:p>
      <w:pPr>
        <w:pBdr>
          <w:bottom w:val="single" w:color="FFFFFF" w:sz="4" w:space="15"/>
        </w:pBdr>
        <w:tabs>
          <w:tab w:val="left" w:pos="1440"/>
        </w:tabs>
        <w:adjustRightInd w:val="0"/>
        <w:snapToGrid w:val="0"/>
        <w:spacing w:beforeLines="0" w:afterLines="0" w:line="560" w:lineRule="exact"/>
        <w:ind w:firstLine="643"/>
        <w:rPr>
          <w:rFonts w:hint="eastAsia" w:ascii="仿宋_GB2312" w:hAnsi="Verdana" w:eastAsia="仿宋_GB2312" w:cs="仿宋_GB2312"/>
          <w:kern w:val="2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zh-CN" w:eastAsia="zh-CN"/>
        </w:rPr>
        <w:t>完善港口集疏运通道。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zh-CN"/>
        </w:rPr>
        <w:t>完善重点港区深水航道、防波堤、锚地建设，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zh-CN" w:eastAsia="zh-CN"/>
        </w:rPr>
        <w:t>进一步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zh-CN"/>
        </w:rPr>
        <w:t>提升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zh-CN" w:eastAsia="zh-CN"/>
        </w:rPr>
        <w:t>重要港湾进港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zh-CN"/>
        </w:rPr>
        <w:t>航道通航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zh-CN" w:eastAsia="zh-CN"/>
        </w:rPr>
        <w:t>等级和安全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zh-CN"/>
        </w:rPr>
        <w:t>保障能力。加快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/>
        </w:rPr>
        <w:t>重点港区疏港公路建设，</w:t>
      </w:r>
      <w:r>
        <w:rPr>
          <w:rFonts w:hint="eastAsia" w:ascii="仿宋_GB2312" w:eastAsia="仿宋_GB2312" w:cs="仿宋_GB2312"/>
          <w:spacing w:val="-2"/>
          <w:kern w:val="2"/>
          <w:sz w:val="32"/>
          <w:szCs w:val="32"/>
          <w:highlight w:val="none"/>
          <w:u w:val="none"/>
          <w:shd w:val="clear" w:color="auto" w:fill="FFFFFF"/>
          <w:lang w:eastAsia="zh-CN"/>
        </w:rPr>
        <w:t>确保</w:t>
      </w:r>
      <w:r>
        <w:rPr>
          <w:rFonts w:hint="eastAsia" w:ascii="仿宋_GB2312" w:eastAsia="仿宋_GB2312" w:cs="仿宋_GB2312"/>
          <w:spacing w:val="-2"/>
          <w:kern w:val="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2025年11个重点港区实现15分钟内上高速公路。</w:t>
      </w:r>
      <w:r>
        <w:rPr>
          <w:rFonts w:hint="eastAsia" w:ascii="仿宋_GB2312" w:hAnsi="Verdana" w:eastAsia="仿宋_GB2312" w:cs="仿宋_GB2312"/>
          <w:kern w:val="2"/>
          <w:sz w:val="32"/>
          <w:szCs w:val="32"/>
          <w:highlight w:val="none"/>
          <w:u w:val="none"/>
          <w:shd w:val="clear" w:color="auto" w:fill="FFFFFF"/>
        </w:rPr>
        <w:t>积极</w:t>
      </w:r>
      <w:r>
        <w:rPr>
          <w:rFonts w:hint="eastAsia" w:ascii="仿宋_GB2312" w:eastAsia="仿宋_GB2312" w:cs="仿宋_GB2312"/>
          <w:spacing w:val="-2"/>
          <w:kern w:val="2"/>
          <w:sz w:val="32"/>
          <w:szCs w:val="32"/>
          <w:highlight w:val="none"/>
          <w:u w:val="none"/>
          <w:shd w:val="clear" w:color="auto" w:fill="FFFFFF"/>
          <w:lang w:eastAsia="zh-CN"/>
        </w:rPr>
        <w:t>完善提升</w:t>
      </w:r>
      <w:r>
        <w:rPr>
          <w:rFonts w:hint="eastAsia" w:ascii="仿宋_GB2312" w:hAnsi="Calibri" w:eastAsia="仿宋_GB2312" w:cs="仿宋_GB2312"/>
          <w:spacing w:val="-2"/>
          <w:kern w:val="2"/>
          <w:sz w:val="32"/>
          <w:szCs w:val="32"/>
          <w:highlight w:val="none"/>
          <w:u w:val="none"/>
          <w:shd w:val="clear" w:color="auto" w:fill="FFFFFF"/>
        </w:rPr>
        <w:t>重点港区疏港铁路基础设施，</w:t>
      </w:r>
      <w:r>
        <w:rPr>
          <w:rFonts w:hint="eastAsia" w:ascii="仿宋_GB2312" w:hAnsi="Verdana" w:eastAsia="仿宋_GB2312" w:cs="仿宋_GB2312"/>
          <w:kern w:val="2"/>
          <w:sz w:val="32"/>
          <w:szCs w:val="32"/>
          <w:highlight w:val="none"/>
          <w:u w:val="none"/>
          <w:shd w:val="clear" w:color="auto" w:fill="FFFFFF"/>
          <w:lang w:eastAsia="zh-CN"/>
        </w:rPr>
        <w:t>加快</w:t>
      </w:r>
      <w:r>
        <w:rPr>
          <w:rFonts w:hint="eastAsia" w:ascii="仿宋_GB2312" w:hAnsi="Verdana" w:eastAsia="仿宋_GB2312" w:cs="仿宋_GB2312"/>
          <w:kern w:val="2"/>
          <w:sz w:val="32"/>
          <w:szCs w:val="32"/>
          <w:highlight w:val="none"/>
          <w:u w:val="none"/>
          <w:shd w:val="clear" w:color="auto" w:fill="FFFFFF"/>
        </w:rPr>
        <w:t>港口后方货运铁路通道建设，</w:t>
      </w:r>
      <w:r>
        <w:rPr>
          <w:rFonts w:hint="eastAsia" w:ascii="仿宋_GB2312" w:hAnsi="Verdana" w:eastAsia="仿宋_GB2312" w:cs="仿宋_GB2312"/>
          <w:kern w:val="2"/>
          <w:sz w:val="32"/>
          <w:szCs w:val="32"/>
          <w:highlight w:val="none"/>
          <w:u w:val="none"/>
          <w:shd w:val="clear" w:color="auto" w:fill="FFFFFF"/>
          <w:lang w:eastAsia="zh-CN"/>
        </w:rPr>
        <w:t>切实</w:t>
      </w:r>
      <w:r>
        <w:rPr>
          <w:rFonts w:hint="eastAsia" w:ascii="仿宋_GB2312" w:hAnsi="Verdana" w:eastAsia="仿宋_GB2312" w:cs="仿宋_GB2312"/>
          <w:kern w:val="2"/>
          <w:sz w:val="32"/>
          <w:szCs w:val="32"/>
          <w:highlight w:val="none"/>
          <w:u w:val="none"/>
          <w:shd w:val="clear" w:color="auto" w:fill="FFFFFF"/>
        </w:rPr>
        <w:t>解决疏港铁路</w:t>
      </w:r>
      <w:r>
        <w:rPr>
          <w:rFonts w:hint="eastAsia" w:ascii="仿宋_GB2312" w:hAnsi="Verdana" w:eastAsia="仿宋_GB2312" w:cs="仿宋_GB2312"/>
          <w:kern w:val="2"/>
          <w:sz w:val="32"/>
          <w:szCs w:val="32"/>
          <w:highlight w:val="none"/>
          <w:u w:val="none"/>
          <w:shd w:val="clear" w:color="auto" w:fill="FFFFFF"/>
          <w:lang w:eastAsia="zh-CN"/>
        </w:rPr>
        <w:t>“最后一公里”及</w:t>
      </w:r>
      <w:r>
        <w:rPr>
          <w:rFonts w:hint="eastAsia" w:ascii="仿宋_GB2312" w:hAnsi="Verdana" w:eastAsia="仿宋_GB2312" w:cs="仿宋_GB2312"/>
          <w:kern w:val="2"/>
          <w:sz w:val="32"/>
          <w:szCs w:val="32"/>
          <w:highlight w:val="none"/>
          <w:u w:val="none"/>
          <w:shd w:val="clear" w:color="auto" w:fill="FFFFFF"/>
        </w:rPr>
        <w:t>与干线铁路衔接不畅</w:t>
      </w:r>
      <w:r>
        <w:rPr>
          <w:rFonts w:hint="eastAsia" w:ascii="仿宋_GB2312" w:hAnsi="Verdana" w:eastAsia="仿宋_GB2312" w:cs="仿宋_GB2312"/>
          <w:kern w:val="2"/>
          <w:sz w:val="32"/>
          <w:szCs w:val="32"/>
          <w:highlight w:val="none"/>
          <w:u w:val="none"/>
          <w:shd w:val="clear" w:color="auto" w:fill="FFFFFF"/>
          <w:lang w:eastAsia="zh-CN"/>
        </w:rPr>
        <w:t>等</w:t>
      </w:r>
      <w:r>
        <w:rPr>
          <w:rFonts w:hint="eastAsia" w:ascii="仿宋_GB2312" w:hAnsi="Verdana" w:eastAsia="仿宋_GB2312" w:cs="仿宋_GB2312"/>
          <w:kern w:val="2"/>
          <w:sz w:val="32"/>
          <w:szCs w:val="32"/>
          <w:highlight w:val="none"/>
          <w:u w:val="none"/>
          <w:shd w:val="clear" w:color="auto" w:fill="FFFFFF"/>
        </w:rPr>
        <w:t>问题。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加快闽江航道整治和沿线内河码头建设，支持闽江江海直达船的建造，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恢复闽江口-南平-三明航道正常通航，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构建</w:t>
      </w:r>
      <w:r>
        <w:rPr>
          <w:rFonts w:hint="eastAsia" w:eastAsia="仿宋_GB2312" w:cs="Times New Roman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以闽江高等级航道为骨架的江海联运体系。</w:t>
      </w:r>
      <w:r>
        <w:rPr>
          <w:rFonts w:hint="eastAsia" w:ascii="仿宋_GB2312" w:hAnsi="Verdana" w:eastAsia="仿宋_GB2312" w:cs="仿宋_GB2312"/>
          <w:kern w:val="2"/>
          <w:sz w:val="32"/>
          <w:szCs w:val="32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" w:eastAsia="zh-CN"/>
        </w:rPr>
        <w:t>责任单位：有关设区市政府、平潭综合实验区管委会，省发改委、交通运输厅、自然资源厅，南昌铁路局集团</w:t>
      </w:r>
      <w:r>
        <w:rPr>
          <w:rFonts w:hint="eastAsia" w:ascii="仿宋_GB2312" w:hAnsi="Verdana" w:eastAsia="仿宋_GB2312" w:cs="仿宋_GB2312"/>
          <w:kern w:val="2"/>
          <w:sz w:val="32"/>
          <w:szCs w:val="32"/>
          <w:highlight w:val="none"/>
          <w:u w:val="none"/>
          <w:shd w:val="clear" w:color="auto" w:fill="FFFFFF"/>
          <w:lang w:eastAsia="zh-CN"/>
        </w:rPr>
        <w:t>）</w:t>
      </w:r>
    </w:p>
    <w:p>
      <w:pPr>
        <w:pBdr>
          <w:bottom w:val="single" w:color="FFFFFF" w:sz="4" w:space="15"/>
        </w:pBdr>
        <w:tabs>
          <w:tab w:val="left" w:pos="1440"/>
        </w:tabs>
        <w:adjustRightInd w:val="0"/>
        <w:snapToGrid w:val="0"/>
        <w:spacing w:beforeLines="0" w:afterLines="0" w:line="560" w:lineRule="exact"/>
        <w:ind w:firstLine="643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Verdana" w:eastAsia="仿宋_GB2312" w:cs="仿宋_GB2312"/>
          <w:b/>
          <w:bCs/>
          <w:color w:val="auto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zh-CN"/>
        </w:rPr>
        <w:t>建设综合物流平台</w:t>
      </w:r>
      <w:r>
        <w:rPr>
          <w:rFonts w:hint="eastAsia" w:ascii="仿宋_GB2312" w:hAnsi="Verdana" w:eastAsia="仿宋_GB2312" w:cs="仿宋_GB2312"/>
          <w:b/>
          <w:bCs/>
          <w:color w:val="auto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。</w:t>
      </w:r>
      <w:r>
        <w:rPr>
          <w:rFonts w:ascii="仿宋_GB2312" w:hAnsi="Verdana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鼓励发展中转配送、流通加工服务，</w:t>
      </w:r>
      <w:r>
        <w:rPr>
          <w:rFonts w:hint="eastAsia" w:ascii="仿宋_GB2312" w:hAnsi="Verdana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支持港口企业与船舶</w:t>
      </w:r>
      <w:r>
        <w:rPr>
          <w:rFonts w:ascii="仿宋_GB2312" w:hAnsi="Verdana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公司、代理、运输、仓储等企业联动发展，</w:t>
      </w:r>
      <w:r>
        <w:rPr>
          <w:rFonts w:hint="eastAsia" w:ascii="仿宋_GB2312" w:hAnsi="Verdana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加快培育“物流+互联网”等新业态、新模式，每个沿海市（区）建设1个以上示范物流园区。提升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港口智慧物流协同平台</w:t>
      </w:r>
      <w:r>
        <w:rPr>
          <w:rFonts w:hint="eastAsia" w:ascii="仿宋_GB2312" w:hAnsi="Verdana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的综合服务能力，培育引进航运经纪、船舶管理、船舶交易、海事咨询、航运融资、海损理赔等服务机构，促进航运要素集聚和功能完善。</w:t>
      </w:r>
      <w:r>
        <w:rPr>
          <w:rFonts w:hint="eastAsia" w:ascii="仿宋_GB2312" w:hAnsi="Verdana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责任单位:沿海各设区市政府、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" w:eastAsia="zh-CN"/>
        </w:rPr>
        <w:t>平潭综合实验区管委会，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省发改委、交通运输厅、福建海事局、省港口集团</w:t>
      </w:r>
      <w:r>
        <w:rPr>
          <w:rFonts w:hint="eastAsia" w:ascii="仿宋_GB2312" w:hAnsi="Verdana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 w:bidi="ar"/>
        </w:rPr>
        <w:t>）</w:t>
      </w:r>
    </w:p>
    <w:p>
      <w:pPr>
        <w:pBdr>
          <w:bottom w:val="single" w:color="FFFFFF" w:sz="4" w:space="15"/>
        </w:pBdr>
        <w:tabs>
          <w:tab w:val="left" w:pos="1440"/>
        </w:tabs>
        <w:adjustRightInd w:val="0"/>
        <w:snapToGrid w:val="0"/>
        <w:spacing w:beforeLines="0" w:afterLines="0" w:line="560" w:lineRule="exact"/>
        <w:ind w:firstLine="643"/>
        <w:rPr>
          <w:rFonts w:hint="default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（三）打造一流的港口关键技术</w:t>
      </w:r>
    </w:p>
    <w:p>
      <w:pPr>
        <w:pBdr>
          <w:bottom w:val="single" w:color="FFFFFF" w:sz="4" w:space="15"/>
        </w:pBdr>
        <w:tabs>
          <w:tab w:val="left" w:pos="1440"/>
        </w:tabs>
        <w:adjustRightInd w:val="0"/>
        <w:snapToGrid w:val="0"/>
        <w:spacing w:beforeLines="0" w:afterLines="0" w:line="560" w:lineRule="exact"/>
        <w:ind w:firstLine="64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推进智慧港口建设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。推进运输物流环节数据互联共享，推动物流作业协同运营，提升物流便利化水平。推广集装箱货物提货单电子化，全面推行集装箱设备交接单无纸化，推进港航费用结算电子化。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加快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智能化集装箱码头项目建设，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推广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智能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化集装箱码头操作系统、远程操控、北斗高精度定位等关键技术装备应用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。推进罗屿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40万吨大型散货码头智能化建设。加快海上交通管理系统（VTS）建设，全面提升全省沿海水路交通服务保障能力。（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" w:eastAsia="zh-CN"/>
        </w:rPr>
        <w:t>责任单位：省交通运输厅、发改委，福建海事局、省港口集团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）</w:t>
      </w:r>
    </w:p>
    <w:p>
      <w:pPr>
        <w:pBdr>
          <w:bottom w:val="single" w:color="FFFFFF" w:sz="4" w:space="15"/>
        </w:pBdr>
        <w:tabs>
          <w:tab w:val="left" w:pos="1440"/>
        </w:tabs>
        <w:adjustRightInd w:val="0"/>
        <w:snapToGrid w:val="0"/>
        <w:spacing w:beforeLines="0" w:afterLines="0" w:line="560" w:lineRule="exact"/>
        <w:ind w:firstLine="643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7.加快绿色港口建设。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  <w:lang w:val="en-US" w:eastAsia="zh-CN"/>
        </w:rPr>
        <w:t>构建清洁低碳的港口用能体系，逐步更新港口老旧作业机械和车辆等设施设备，优先使用清洁能源；提高泊位岸电率，推动码头岸电设施改造，提升船舶靠港岸电使用率；在港区推动光伏发电，推广应用新技术、新工艺、新材料、新设备，构建资源节约型和环境友好型现代化港口。着力强化污染防治，落实港区规划环评要求，初步形成设施齐备、制度健全、运行有效的港口和船舶污染防治体系。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" w:eastAsia="zh-CN"/>
        </w:rPr>
        <w:t>责任单位：省交通运输厅、福建海事局、省港口集团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15"/>
        </w:pBdr>
        <w:tabs>
          <w:tab w:val="left" w:pos="1440"/>
        </w:tabs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1" w:firstLineChars="0"/>
        <w:textAlignment w:val="auto"/>
        <w:rPr>
          <w:rFonts w:hint="eastAsia" w:ascii="仿宋_GB2312" w:hAnsi="Verdana" w:eastAsia="仿宋_GB2312" w:cs="仿宋_GB2312"/>
          <w:kern w:val="2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（四）争创一流的港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航</w:t>
      </w:r>
      <w:r>
        <w:rPr>
          <w:rFonts w:hint="default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管理水平</w:t>
      </w:r>
    </w:p>
    <w:p>
      <w:pPr>
        <w:pBdr>
          <w:bottom w:val="single" w:color="FFFFFF" w:sz="4" w:space="15"/>
        </w:pBdr>
        <w:tabs>
          <w:tab w:val="left" w:pos="1440"/>
        </w:tabs>
        <w:adjustRightInd w:val="0"/>
        <w:snapToGrid w:val="0"/>
        <w:spacing w:beforeLines="0" w:afterLines="0" w:line="560" w:lineRule="exact"/>
        <w:ind w:firstLine="643"/>
        <w:rPr>
          <w:rFonts w:hint="eastAsia" w:ascii="仿宋_GB2312" w:hAnsi="Verdana" w:eastAsia="仿宋_GB2312" w:cs="仿宋_GB2312"/>
          <w:b w:val="0"/>
          <w:color w:val="00000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.发挥港口龙头企业市场协调功能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u w:val="none"/>
          <w:lang w:val="zh-CN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u w:val="none"/>
          <w:lang w:val="zh-CN" w:eastAsia="zh-CN" w:bidi="ar-SA"/>
        </w:rPr>
        <w:t>以优势互补为导向，支持我省港口龙头企业与其它港口企业协同发展。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发挥省港口龙头企业统筹经营和市场协调功能，</w:t>
      </w:r>
      <w:r>
        <w:rPr>
          <w:rFonts w:hint="eastAsia" w:ascii="仿宋_GB2312" w:hAnsi="Verdana" w:eastAsia="仿宋_GB2312" w:cs="仿宋_GB2312"/>
          <w:b w:val="0"/>
          <w:color w:val="000000"/>
          <w:kern w:val="2"/>
          <w:sz w:val="32"/>
          <w:szCs w:val="32"/>
          <w:highlight w:val="none"/>
          <w:u w:val="none"/>
          <w:shd w:val="clear" w:color="auto" w:fill="FFFFFF"/>
          <w:lang w:val="zh-CN" w:eastAsia="zh-CN" w:bidi="ar"/>
        </w:rPr>
        <w:t>加快业务整合，</w:t>
      </w:r>
      <w:r>
        <w:rPr>
          <w:rFonts w:hint="eastAsia" w:ascii="仿宋_GB2312" w:hAnsi="仿宋_GB2312" w:eastAsia="仿宋_GB2312" w:cs="Times New Roman"/>
          <w:color w:val="000000"/>
          <w:kern w:val="2"/>
          <w:sz w:val="32"/>
          <w:szCs w:val="24"/>
          <w:highlight w:val="none"/>
          <w:u w:val="none"/>
          <w:lang w:val="zh-CN" w:eastAsia="zh-CN" w:bidi="ar-SA"/>
        </w:rPr>
        <w:t>优化港口资源配置，</w:t>
      </w:r>
      <w:r>
        <w:rPr>
          <w:rFonts w:hint="eastAsia" w:ascii="仿宋_GB2312" w:hAnsi="Verdana" w:eastAsia="仿宋_GB2312" w:cs="仿宋_GB2312"/>
          <w:b w:val="0"/>
          <w:color w:val="000000"/>
          <w:kern w:val="2"/>
          <w:sz w:val="32"/>
          <w:szCs w:val="32"/>
          <w:highlight w:val="none"/>
          <w:u w:val="none"/>
          <w:shd w:val="clear" w:color="auto" w:fill="FFFFFF"/>
          <w:lang w:val="zh-CN" w:eastAsia="zh-CN" w:bidi="ar"/>
        </w:rPr>
        <w:t>形成省内各港的物流协同和无缝衔接，在功能组合、船舶装卸、数据协同、港口合作的基础上实现“多港合一”，提高港口一体化经营水平。</w:t>
      </w:r>
      <w:r>
        <w:rPr>
          <w:rFonts w:hint="eastAsia" w:ascii="仿宋_GB2312" w:hAnsi="Verdana" w:eastAsia="仿宋_GB2312" w:cs="仿宋_GB2312"/>
          <w:b w:val="0"/>
          <w:color w:val="00000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责任单位: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省交通运输厅、发改委、港口集团</w:t>
      </w:r>
      <w:r>
        <w:rPr>
          <w:rFonts w:hint="eastAsia" w:ascii="仿宋_GB2312" w:hAnsi="Verdana" w:eastAsia="仿宋_GB2312" w:cs="仿宋_GB2312"/>
          <w:b w:val="0"/>
          <w:color w:val="00000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)</w:t>
      </w:r>
    </w:p>
    <w:p>
      <w:pPr>
        <w:pBdr>
          <w:bottom w:val="single" w:color="FFFFFF" w:sz="4" w:space="15"/>
        </w:pBdr>
        <w:tabs>
          <w:tab w:val="left" w:pos="1440"/>
        </w:tabs>
        <w:adjustRightInd w:val="0"/>
        <w:snapToGrid w:val="0"/>
        <w:spacing w:beforeLines="0" w:after="0" w:afterLines="0" w:line="560" w:lineRule="exact"/>
        <w:ind w:firstLine="643"/>
        <w:rPr>
          <w:rFonts w:hint="eastAsia" w:ascii="仿宋_GB2312" w:hAnsi="Verdana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9.营造良好港航发展环境。</w:t>
      </w:r>
      <w:r>
        <w:rPr>
          <w:rFonts w:hint="eastAsia" w:ascii="仿宋_GB2312" w:hAnsi="Verdana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优化船舶“运、检、航”等办证手续，为船舶落籍福建提供便利化环境。</w:t>
      </w:r>
      <w:r>
        <w:rPr>
          <w:rFonts w:ascii="仿宋_GB2312" w:hAnsi="Verdana" w:eastAsia="仿宋_GB2312" w:cs="仿宋_GB2312"/>
          <w:b w:val="0"/>
          <w:color w:val="00000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进一步扩大我省船队规模</w:t>
      </w:r>
      <w:r>
        <w:rPr>
          <w:rFonts w:hint="eastAsia" w:ascii="仿宋_GB2312" w:hAnsi="Verdana" w:eastAsia="仿宋_GB2312" w:cs="仿宋_GB2312"/>
          <w:b w:val="0"/>
          <w:color w:val="00000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，引导航运企业整合重组实现规模化发展。优化沿海运输船队运力结构，加快老旧船舶更新淘汰，大力发展集装箱船、散装</w:t>
      </w:r>
      <w:r>
        <w:rPr>
          <w:rFonts w:hint="eastAsia" w:ascii="仿宋_GB2312" w:hAnsi="Verdana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液货危险品船等专业船舶运输，</w:t>
      </w:r>
      <w:r>
        <w:rPr>
          <w:rFonts w:hint="eastAsia" w:ascii="仿宋_GB2312" w:hAnsi="Verdana" w:eastAsia="仿宋_GB2312" w:cs="仿宋_GB2312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进一步壮大运力规模超100万载重吨的海运龙头企业和超10万载重吨的海运骨干企业</w:t>
      </w:r>
      <w:r>
        <w:rPr>
          <w:rFonts w:hint="eastAsia" w:ascii="仿宋_GB2312" w:hAnsi="Verdana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。（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责任单位: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省交通运输厅、福建海事局、省港口集团</w:t>
      </w:r>
      <w:r>
        <w:rPr>
          <w:rFonts w:hint="eastAsia" w:ascii="仿宋_GB2312" w:hAnsi="Verdana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）</w:t>
      </w:r>
    </w:p>
    <w:p>
      <w:pPr>
        <w:widowControl/>
        <w:numPr>
          <w:ilvl w:val="0"/>
          <w:numId w:val="0"/>
        </w:numPr>
        <w:pBdr>
          <w:bottom w:val="single" w:color="FFFFFF" w:sz="4" w:space="15"/>
        </w:pBdr>
        <w:tabs>
          <w:tab w:val="left" w:pos="1440"/>
        </w:tabs>
        <w:adjustRightInd w:val="0"/>
        <w:snapToGrid w:val="0"/>
        <w:spacing w:beforeLines="0" w:afterLines="0" w:line="560" w:lineRule="exact"/>
        <w:ind w:firstLine="64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10.</w:t>
      </w:r>
      <w:r>
        <w:rPr>
          <w:rFonts w:hint="eastAsia" w:eastAsia="仿宋_GB2312" w:cs="Times New Roman"/>
          <w:b/>
          <w:bCs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建立健全闽江航运发展管理机制。</w:t>
      </w:r>
      <w:r>
        <w:rPr>
          <w:rFonts w:hint="eastAsia" w:eastAsia="仿宋_GB2312" w:cs="Times New Roman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研究闽江航运扶持政策，大力</w:t>
      </w: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培育扶持内河航运市场</w:t>
      </w:r>
      <w:r>
        <w:rPr>
          <w:rFonts w:hint="eastAsia" w:ascii="Calibri" w:hAnsi="Calibri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Calibri" w:eastAsia="仿宋_GB2312" w:cs="Times New Roman"/>
          <w:color w:val="000000"/>
          <w:sz w:val="32"/>
          <w:szCs w:val="32"/>
          <w:highlight w:val="none"/>
          <w:u w:val="none"/>
        </w:rPr>
        <w:t>提升内河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港航</w:t>
      </w:r>
      <w:r>
        <w:rPr>
          <w:rFonts w:hint="eastAsia" w:ascii="Calibri" w:eastAsia="仿宋_GB2312" w:cs="Times New Roman"/>
          <w:color w:val="000000"/>
          <w:sz w:val="32"/>
          <w:szCs w:val="32"/>
          <w:highlight w:val="none"/>
          <w:u w:val="none"/>
        </w:rPr>
        <w:t>企业运力和</w:t>
      </w:r>
      <w:r>
        <w:rPr>
          <w:rFonts w:hint="eastAsia" w:ascii="Calibri" w:hAnsi="Calibri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服务能力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。积极推动闽江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水上旅游客运发展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zh-CN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着力提升水上交通客运品质，促进内河水上客运与旅游、文化、城市的融合发展。积极推动电动船舶推广应用和港口码头充换电设施等配套设施建设，有序引导闽江航运电动化发展。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（责任单位：沿闽江各设区市政府，省交通运输厅、发改委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、工信厅、港口集团）</w:t>
      </w:r>
    </w:p>
    <w:p>
      <w:pPr>
        <w:pBdr>
          <w:bottom w:val="single" w:color="FFFFFF" w:sz="4" w:space="15"/>
        </w:pBdr>
        <w:tabs>
          <w:tab w:val="left" w:pos="1440"/>
        </w:tabs>
        <w:adjustRightInd w:val="0"/>
        <w:snapToGrid w:val="0"/>
        <w:spacing w:beforeLines="0" w:afterLines="0" w:line="560" w:lineRule="exact"/>
        <w:ind w:firstLine="643"/>
        <w:rPr>
          <w:rFonts w:hint="default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u w:val="none"/>
          <w:lang w:val="zh-CN" w:eastAsia="zh-CN"/>
        </w:rPr>
        <w:t>（五）构建一流的港口服务体系</w:t>
      </w:r>
    </w:p>
    <w:p>
      <w:pPr>
        <w:pBdr>
          <w:bottom w:val="single" w:color="FFFFFF" w:sz="4" w:space="15"/>
        </w:pBdr>
        <w:tabs>
          <w:tab w:val="left" w:pos="1440"/>
        </w:tabs>
        <w:adjustRightInd w:val="0"/>
        <w:snapToGrid w:val="0"/>
        <w:spacing w:beforeLines="0" w:afterLines="0" w:line="560" w:lineRule="exact"/>
        <w:ind w:firstLine="64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推进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lang w:val="zh-CN" w:eastAsia="zh-CN" w:bidi="ar-SA"/>
        </w:rPr>
        <w:t>“丝路海运”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加快“海丝”核心区建设，加强与东盟国家在码头建设、航线拓展等方面的合作。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积极拓展“丝路海运”航线，充分发挥“丝路海运”联盟作用，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完善“丝路海运”服务标准体系和相关评价机制，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推进“丝路海运”信息化平台建设，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</w:rPr>
        <w:t>办好“丝路海运”国际合作论坛及系列活动，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“丝路海运”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打造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成为“一带一路”共商共建共享的特色平台。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对接省内“中欧班列”，加快形成陆海内外联动、东西双向互济效应，实现“海丝”和“陆丝”无缝对接。（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eastAsia="zh-CN"/>
        </w:rPr>
        <w:t>责任单位：省发改委、交通运输厅、港口集团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）</w:t>
      </w:r>
    </w:p>
    <w:p>
      <w:pPr>
        <w:pBdr>
          <w:bottom w:val="single" w:color="FFFFFF" w:sz="4" w:space="15"/>
        </w:pBdr>
        <w:tabs>
          <w:tab w:val="left" w:pos="1440"/>
        </w:tabs>
        <w:adjustRightInd w:val="0"/>
        <w:snapToGrid w:val="0"/>
        <w:spacing w:beforeLines="0" w:afterLines="0" w:line="560" w:lineRule="exact"/>
        <w:ind w:firstLine="643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12.创新多式联运发展模式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。加快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推动多式联运“一单制”试点推广应用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提升多式联运服务效率和质量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FFFFFF"/>
        </w:rPr>
        <w:t>有效扩大港口的辐射带动作用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鼓励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省港口集团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以资本融合、资源共享为纽带，与航运、铁路运输企业和第三方物流企业等组建专业化多式联运经营主体，共同开发运营多式联运服务产品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FFFFFF"/>
        </w:rPr>
        <w:t>，打造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多式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FFFFFF"/>
        </w:rPr>
        <w:t>联运特色线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路。（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责任单位：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省交通运输厅、发改委、港口集团，南昌铁路局集团）</w:t>
      </w:r>
    </w:p>
    <w:p>
      <w:pPr>
        <w:widowControl/>
        <w:numPr>
          <w:ilvl w:val="0"/>
          <w:numId w:val="0"/>
        </w:numPr>
        <w:pBdr>
          <w:bottom w:val="single" w:color="FFFFFF" w:sz="4" w:space="15"/>
        </w:pBdr>
        <w:tabs>
          <w:tab w:val="left" w:pos="1440"/>
        </w:tabs>
        <w:adjustRightInd w:val="0"/>
        <w:snapToGrid w:val="0"/>
        <w:spacing w:beforeLines="0" w:after="0" w:afterLines="0" w:line="560" w:lineRule="exact"/>
        <w:ind w:firstLine="641"/>
        <w:rPr>
          <w:rFonts w:hint="eastAsia" w:ascii="仿宋_GB2312" w:hAnsi="Verdana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13.增强港口腹地辐射能力。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加强闽台港航合作，增开加密两岸航线，积极拓展海向腹地。加强港口业务推介，积极与粤东、浙南、江西及湖南等地区建立经贸协作关系，延伸和构建西进通道，争取周边省份的潜在腹地货流。充分发挥向莆、衢宁、兴泉等干线铁路货运能力，建立健全海铁联运深入合作机制，大力发展海铁联运。积极加强与腹地龙头企业合作，通过投资、参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zh-CN" w:eastAsia="zh-CN"/>
        </w:rPr>
        <w:t>建设陆地港、飞地港、物流园区或让渡部分福建港口股权等模式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,构建港口与腹地物流合作的坚实平台。推进福建沿海港口煤炭、矿石等国际大宗散货集散中心建设。（责任单位：沿海各设区市政府、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" w:eastAsia="zh-CN"/>
        </w:rPr>
        <w:t>平潭综合实验区管委会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，省交通运输厅、发改委、港口集团，南昌铁路局集团）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15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3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仿宋_GB2312" w:hAnsi="Verdana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u w:val="none"/>
          <w:lang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u w:val="none"/>
        </w:rPr>
        <w:t>、保障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u w:val="none"/>
          <w:lang w:eastAsia="zh-CN"/>
        </w:rPr>
        <w:t>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15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3" w:firstLineChars="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u w:val="none"/>
          <w:lang w:val="zh-CN" w:eastAsia="zh-CN"/>
        </w:rPr>
        <w:t>（一）强化组织实施。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充分发挥建设世界一流港口工作协调小组作用，及时协调解决相关具体问题，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推动工作落实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。各地各部门要根据本行动方案，分解目标任务，落实工作责任，加强协作配合，按照清单中的完成时限，不折不扣完成各项目标任务。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15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3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u w:val="none"/>
          <w:lang w:val="zh-CN" w:eastAsia="zh-CN"/>
        </w:rPr>
        <w:t>（二）强化政策支持。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市县政府应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落实港口基础设施建设维护资金，纳入年度财政预算，确保资金及时到位。省级应落实“丝路海运”港航发展扶持资金，保持对集装箱运输发展的奖补支持力度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有关部门在发展政策、用海用地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等要素保障上予以支持，确保项目顺利实施。</w:t>
      </w:r>
    </w:p>
    <w:p>
      <w:pPr>
        <w:widowControl/>
        <w:numPr>
          <w:ilvl w:val="0"/>
          <w:numId w:val="0"/>
        </w:numPr>
        <w:pBdr>
          <w:bottom w:val="single" w:color="FFFFFF" w:sz="4" w:space="15"/>
        </w:pBdr>
        <w:tabs>
          <w:tab w:val="left" w:pos="1440"/>
        </w:tabs>
        <w:adjustRightInd w:val="0"/>
        <w:snapToGrid w:val="0"/>
        <w:spacing w:beforeLines="0" w:afterLines="0" w:line="560" w:lineRule="exact"/>
        <w:ind w:firstLine="643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u w:val="none"/>
          <w:lang w:val="zh-CN" w:eastAsia="zh-CN"/>
        </w:rPr>
        <w:t>（三）强化责任落实。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各有关部门要将职责范围内的任务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纳入年度工作计划，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建立科学合理的激励机制与目标考核机制，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跟踪督办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，确保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工作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取得实效。</w:t>
      </w:r>
    </w:p>
    <w:p>
      <w:pPr>
        <w:widowControl/>
        <w:numPr>
          <w:ilvl w:val="0"/>
          <w:numId w:val="0"/>
        </w:numPr>
        <w:pBdr>
          <w:bottom w:val="single" w:color="FFFFFF" w:sz="4" w:space="15"/>
        </w:pBdr>
        <w:tabs>
          <w:tab w:val="left" w:pos="1440"/>
        </w:tabs>
        <w:adjustRightInd w:val="0"/>
        <w:snapToGrid w:val="0"/>
        <w:spacing w:beforeLines="0" w:afterLines="0" w:line="560" w:lineRule="exact"/>
        <w:ind w:firstLine="643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rPr>
          <w:rFonts w:hint="eastAsia" w:ascii="仿宋_GB2312"/>
          <w:sz w:val="28"/>
          <w:szCs w:val="28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3"/>
        <w:rPr>
          <w:rFonts w:hint="eastAsia" w:ascii="仿宋_GB2312"/>
          <w:sz w:val="28"/>
          <w:szCs w:val="28"/>
        </w:rPr>
      </w:pPr>
    </w:p>
    <w:p>
      <w:pPr>
        <w:rPr>
          <w:rFonts w:hint="eastAsia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3"/>
        <w:rPr>
          <w:rFonts w:hint="eastAsia" w:ascii="仿宋_GB2312"/>
          <w:sz w:val="28"/>
          <w:szCs w:val="28"/>
        </w:rPr>
      </w:pPr>
    </w:p>
    <w:p>
      <w:pPr>
        <w:rPr>
          <w:rFonts w:hint="eastAsia" w:ascii="仿宋_GB2312"/>
          <w:sz w:val="28"/>
          <w:szCs w:val="28"/>
        </w:rPr>
      </w:pPr>
    </w:p>
    <w:p>
      <w:pPr>
        <w:pStyle w:val="2"/>
        <w:rPr>
          <w:rFonts w:hint="eastAsia" w:ascii="仿宋_GB2312"/>
          <w:sz w:val="28"/>
          <w:szCs w:val="28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8" w:beforeLines="50"/>
        <w:textAlignment w:val="auto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ind w:firstLine="441" w:firstLineChars="162"/>
        <w:rPr>
          <w:rFonts w:hint="eastAsia"/>
        </w:rPr>
      </w:pP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433705</wp:posOffset>
                </wp:positionV>
                <wp:extent cx="554736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4.15pt;height:0pt;width:436.8pt;z-index:251660288;mso-width-relative:page;mso-height-relative:page;" filled="f" coordsize="21600,21600" o:gfxdata="UEsDBAoAAAAAAIdO4kAAAAAAAAAAAAAAAAAEAAAAZHJzL1BLAwQUAAAACACHTuJA3uiSsdUAAAAG&#10;AQAADwAAAGRycy9kb3ducmV2LnhtbE2PzU7DMBCE70i8g7VIvVTUbiOlURqnByC3XiituG7jbRIR&#10;r9PY/YGnx4gDHHdmNPNtsb7ZXlxo9J1jDfOZAkFcO9Nxo2H3Vj1mIHxANtg7Jg2f5GFd3t8VmBt3&#10;5Ve6bEMjYgn7HDW0IQy5lL5uyaKfuYE4ekc3WgzxHBtpRrzGctvLhVKptNhxXGhxoKeW6o/t2Wrw&#10;1Z5O1de0nqr3pHG0OD1vXlDrycNcrUAEuoW/MPzgR3QoI9PBndl40WuIjwQNaZaAiG62TFIQh19B&#10;loX8j19+A1BLAwQUAAAACACHTuJAjHqJf9kBAACWAwAADgAAAGRycy9lMm9Eb2MueG1srVNLjhMx&#10;EN0jcQfLe9JJIAO00pkFYdggGGngABV/ui35J5cnnVyCCyCxgxVL9tyG4RiUnUyGzwYhelFddpVf&#10;1XsuL893zrKtSmiC7/hsMuVMeRGk8X3H3765ePCEM8zgJdjgVcf3Cvn56v695RhbNQ9DsFIlRiAe&#10;2zF2fMg5tk2DYlAOcBKi8hTUITnItEx9IxOMhO5sM59Oz5oxJBlTEAqRdteHIF9VfK2VyK+1RpWZ&#10;7Tj1lqtN1W6KbVZLaPsEcTDi2Ab8QxcOjKeiJ6g1ZGDXyfwB5YxIAYPOExFcE7Q2QlUOxGY2/Y3N&#10;1QBRVS4kDsaTTPj/YMWr7WViRnZ8zpkHR1d08/7Lt3cfv3/9QPbm8yc2LyKNEVvKvYqX6bhCcgvj&#10;nU6u/IkL21Vh9ydh1S4zQZuLxaPHD89If3Eba+4OxoT5hQqOFafj1vjCGVrYvsRMxSj1NqVsW8/G&#10;jj9dzBcEBzQy2kIm10Uigb6vZzFYIy+MteUEpn7zzCa2hTIE9SuUCPeXtFJkDTgc8mroMB6DAvnc&#10;S5b3keTxNMe8tOCU5MwqGvviESC0GYz9m0wqbT11UFQ96Fi8TZB7uozrmEw/kBKz2mWJ0OXXfo+D&#10;Wqbr53VFuntOq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e6JKx1QAAAAYBAAAPAAAAAAAAAAEA&#10;IAAAACIAAABkcnMvZG93bnJldi54bWxQSwECFAAUAAAACACHTuJAjHqJf9kBAACWAwAADgAAAAAA&#10;AAABACAAAAAkAQAAZHJzL2Uyb0RvYy54bWxQSwUGAAAAAAYABgBZAQAAb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54736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65pt;height:0pt;width:436.8pt;z-index:251659264;mso-width-relative:page;mso-height-relative:page;" filled="f" coordsize="21600,21600" o:gfxdata="UEsDBAoAAAAAAIdO4kAAAAAAAAAAAAAAAAAEAAAAZHJzL1BLAwQUAAAACACHTuJAYDu+eNMAAAAE&#10;AQAADwAAAGRycy9kb3ducmV2LnhtbE2PzU7DMBCE70i8g7VIXCpqt5HaKsTpAciNSwuI6zZekoh4&#10;ncbuDzx9Fy5wHM1o5ptiffa9OtIYu8AWZlMDirgOruPGwutLdbcCFROywz4wWfiiCOvy+qrA3IUT&#10;b+i4TY2SEo45WmhTGnKtY92SxzgNA7F4H2H0mESOjXYjnqTc93puzEJ77FgWWhzooaX6c3vwFmL1&#10;Rvvqe1JPzHvWBJrvH5+f0Nrbm5m5B5XonP7C8IMv6FAK0y4c2EXVW5AjycIyAyXmapktQO1+tS4L&#10;/R++vABQSwMEFAAAAAgAh07iQL/HJcjYAQAAlgMAAA4AAABkcnMvZTJvRG9jLnhtbK1TS44TMRDd&#10;I3EHy3vSSSADtNKZBWHYIBhp4AAVf7ot+SeXJ51cggsgsYMVS/bchuEYlJ1Mhs8GIbKolF3lV/Ve&#10;VS/Pd86yrUpogu/4bDLlTHkRpPF9x9++uXjwhDPM4CXY4FXH9wr5+er+veUYWzUPQ7BSJUYgHtsx&#10;dnzIObZNg2JQDnASovIU1CE5yHRMfSMTjITubDOfTs+aMSQZUxAKkW7XhyBfVXytlcivtUaVme04&#10;9ZarTdVuim1WS2j7BHEw4tgG/EMXDoynoieoNWRg18n8AeWMSAGDzhMRXBO0NkJVDsRmNv2NzdUA&#10;UVUuJA7Gk0z4/2DFq+1lYkbS7Djz4GhEN++/fHv38fvXD2RvPn9isyLSGLGl3Kt4mY4nJLcw3unk&#10;yj9xYbsq7P4krNplJuhysXj0+OEZ6S9uY83dw5gwv1DBseJ03BpfOEML25eYqRil3qaUa+vZ2PGn&#10;i/mC4IBWRlvI5LpIJND39S0Ga+SFsba8wNRvntnEtlCWoP4KJcL9Ja0UWQMOh7waOqzHoEA+95Ll&#10;fSR5PO0xLy04JTmzita+eAQIbQZj/yaTSltPHRRVDzoWbxPknoZxHZPpB1KiCl9zaPi13+Oilu36&#10;+VyR7j6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gO7540wAAAAQBAAAPAAAAAAAAAAEAIAAA&#10;ACIAAABkcnMvZG93bnJldi54bWxQSwECFAAUAAAACACHTuJAv8clyNgBAACWAwAADgAAAAAAAAAB&#10;ACAAAAAiAQAAZHJzL2Uyb0RvYy54bWxQSwUGAAAAAAYABgBZAQAAbA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/>
          <w:sz w:val="28"/>
          <w:szCs w:val="28"/>
        </w:rPr>
        <w:t>福建省交通运输厅办公室　</w:t>
      </w:r>
      <w:r>
        <w:rPr>
          <w:rFonts w:hint="default" w:ascii="仿宋_GB2312"/>
          <w:sz w:val="28"/>
          <w:szCs w:val="28"/>
          <w:lang w:val="en"/>
        </w:rPr>
        <w:t xml:space="preserve">             </w:t>
      </w:r>
      <w:r>
        <w:rPr>
          <w:rFonts w:hint="eastAsia" w:ascii="仿宋_GB2312"/>
          <w:sz w:val="28"/>
          <w:szCs w:val="28"/>
        </w:rPr>
        <w:t>　 　</w:t>
      </w:r>
      <w:r>
        <w:rPr>
          <w:rFonts w:hint="eastAsia" w:ascii="仿宋_GB2312"/>
          <w:sz w:val="28"/>
          <w:szCs w:val="28"/>
          <w:lang w:eastAsia="zh-CN"/>
        </w:rPr>
        <w:t>2022年4月</w:t>
      </w:r>
      <w:r>
        <w:rPr>
          <w:rFonts w:hint="default" w:ascii="仿宋_GB2312"/>
          <w:sz w:val="28"/>
          <w:szCs w:val="28"/>
          <w:lang w:val="en" w:eastAsia="zh-CN"/>
        </w:rPr>
        <w:t>8</w:t>
      </w:r>
      <w:r>
        <w:rPr>
          <w:rFonts w:hint="eastAsia" w:ascii="仿宋_GB2312"/>
          <w:sz w:val="28"/>
          <w:szCs w:val="28"/>
          <w:lang w:eastAsia="zh-CN"/>
        </w:rPr>
        <w:t>日</w:t>
      </w:r>
      <w:r>
        <w:rPr>
          <w:rFonts w:hint="eastAsia" w:ascii="仿宋_GB2312"/>
          <w:sz w:val="28"/>
          <w:szCs w:val="28"/>
        </w:rPr>
        <w:t>印发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cols w:space="720" w:num="1"/>
      <w:docGrid w:type="linesAndChars" w:linePitch="610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0" w:firstLineChars="111"/>
      <w:jc w:val="right"/>
      <w:rPr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6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6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6"/>
        <w:rFonts w:hint="eastAsia" w:ascii="宋体" w:hAnsi="宋体" w:eastAsia="宋体" w:cs="宋体"/>
        <w:sz w:val="28"/>
        <w:szCs w:val="28"/>
      </w:rPr>
      <w:t>1</w:t>
    </w:r>
    <w:r>
      <w:rPr>
        <w:rStyle w:val="6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4"/>
      <w:ind w:firstLine="360"/>
      <w:rPr>
        <w:rFonts w:hint="eastAsia"/>
        <w:szCs w:val="28"/>
      </w:rPr>
    </w:pPr>
  </w:p>
  <w:p>
    <w:pPr>
      <w:pStyle w:val="4"/>
      <w:ind w:firstLine="360"/>
      <w:rPr>
        <w:rFonts w:hint="eastAsia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98" w:firstLineChars="71"/>
      <w:rPr>
        <w:rFonts w:hint="eastAsia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6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6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6"/>
        <w:rFonts w:hint="eastAsia" w:ascii="宋体" w:hAnsi="宋体" w:eastAsia="宋体" w:cs="宋体"/>
        <w:sz w:val="28"/>
        <w:szCs w:val="28"/>
      </w:rPr>
      <w:t>2</w:t>
    </w:r>
    <w:r>
      <w:rPr>
        <w:rStyle w:val="6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6"/>
        <w:rFonts w:hint="eastAsia" w:ascii="宋体" w:hAnsi="宋体" w:eastAsia="宋体" w:cs="宋体"/>
        <w:sz w:val="28"/>
        <w:szCs w:val="28"/>
      </w:rPr>
      <w:t xml:space="preserve"> </w:t>
    </w:r>
    <w:r>
      <w:rPr>
        <w:rStyle w:val="6"/>
        <w:rFonts w:hint="eastAsia"/>
        <w:sz w:val="28"/>
        <w:szCs w:val="28"/>
      </w:rPr>
      <w:t>—</w:t>
    </w:r>
  </w:p>
  <w:p>
    <w:pPr>
      <w:pStyle w:val="4"/>
      <w:ind w:firstLine="360"/>
      <w:rPr>
        <w:rFonts w:hint="eastAsia"/>
        <w:szCs w:val="28"/>
      </w:rPr>
    </w:pPr>
  </w:p>
  <w:p>
    <w:pPr>
      <w:pStyle w:val="4"/>
      <w:ind w:firstLine="360"/>
      <w:rPr>
        <w:rFonts w:hint="eastAsia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01549"/>
    <w:rsid w:val="3F00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iPriority w:val="0"/>
    <w:rPr>
      <w:sz w:val="18"/>
      <w:szCs w:val="18"/>
    </w:rPr>
  </w:style>
  <w:style w:type="paragraph" w:styleId="3">
    <w:name w:val="header"/>
    <w:basedOn w:val="1"/>
    <w:next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2022-05-09T01:59:00Z</dcterms:created>
  <dc:creator>JTT</dc:creator>
  <cp:lastModifiedBy>JTT</cp:lastModifiedBy>
  <dcterms:modified xsi:type="dcterms:W3CDTF">2022-05-09T02:00:37Z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